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AA016C" w14:textId="22FCC620" w:rsidR="00AE5482" w:rsidRDefault="008043AF" w:rsidP="008043AF">
      <w:pPr>
        <w:pStyle w:val="03TitreILDP"/>
        <w:spacing w:before="0" w:after="0"/>
        <w:ind w:left="142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AE5482" w:rsidRPr="00EE5BE0">
        <w:rPr>
          <w:rFonts w:ascii="Times New Roman" w:hAnsi="Times New Roman" w:cs="Times New Roman"/>
          <w:sz w:val="24"/>
          <w:szCs w:val="24"/>
        </w:rPr>
        <w:t>La notion de contrat de consommation</w:t>
      </w:r>
    </w:p>
    <w:p w14:paraId="334CCFE4" w14:textId="77777777" w:rsidR="00EE5BE0" w:rsidRPr="008043AF" w:rsidRDefault="00EE5BE0" w:rsidP="00EE5BE0">
      <w:pPr>
        <w:pStyle w:val="03TitreILDP"/>
        <w:numPr>
          <w:ilvl w:val="0"/>
          <w:numId w:val="0"/>
        </w:numPr>
        <w:spacing w:before="0" w:after="0"/>
        <w:rPr>
          <w:rFonts w:ascii="Times New Roman" w:hAnsi="Times New Roman" w:cs="Times New Roman"/>
          <w:sz w:val="16"/>
          <w:szCs w:val="16"/>
        </w:rPr>
      </w:pPr>
    </w:p>
    <w:p w14:paraId="1C055465" w14:textId="24D02D54" w:rsidR="00AE5482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0" w:after="0"/>
        <w:ind w:left="709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Les parties au contrat de consommation</w:t>
      </w:r>
    </w:p>
    <w:p w14:paraId="6167BEA3" w14:textId="77777777" w:rsidR="00EE5BE0" w:rsidRPr="008043AF" w:rsidRDefault="00EE5BE0" w:rsidP="00EE5BE0">
      <w:pPr>
        <w:pStyle w:val="04TitreALDP"/>
        <w:keepNext/>
        <w:suppressAutoHyphens/>
        <w:spacing w:before="0" w:after="0"/>
        <w:ind w:left="1276"/>
        <w:rPr>
          <w:rFonts w:ascii="Times New Roman" w:hAnsi="Times New Roman" w:cs="Times New Roman"/>
          <w:sz w:val="16"/>
          <w:szCs w:val="16"/>
        </w:rPr>
      </w:pPr>
    </w:p>
    <w:p w14:paraId="38506D85" w14:textId="5C5CBE87" w:rsidR="00A96B88" w:rsidRPr="00EE5BE0" w:rsidRDefault="00AE5482" w:rsidP="008C15D9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D0632EE" wp14:editId="4853B871">
            <wp:extent cx="3990774" cy="110546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4609" cy="1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8939" w14:textId="700AAD78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4ADB852" wp14:editId="6F5CE67C">
            <wp:extent cx="3998794" cy="375548"/>
            <wp:effectExtent l="0" t="0" r="1905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4245" cy="3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0A9" w14:textId="0B2960FA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AB668F8" wp14:editId="4FE74DD6">
            <wp:extent cx="3955285" cy="450376"/>
            <wp:effectExtent l="0" t="0" r="762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533" cy="4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49A" w14:textId="3EB59230" w:rsidR="00AE5482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56B60431" wp14:editId="7C1A5960">
            <wp:extent cx="4401403" cy="1146442"/>
            <wp:effectExtent l="0" t="0" r="0" b="0"/>
            <wp:docPr id="4" name="Image 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abl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152" cy="116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4EDB" w14:textId="24C2EAE4" w:rsidR="00AE5482" w:rsidRPr="00EE5BE0" w:rsidRDefault="00AE5482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EE5BE0">
        <w:rPr>
          <w:rFonts w:ascii="Times New Roman" w:hAnsi="Times New Roman" w:cs="Times New Roman"/>
          <w:b/>
          <w:bCs/>
        </w:rPr>
        <w:t>Ernest Grenier doit-il être considéré comme un consommateur pour l’achat de son tracteur ?</w:t>
      </w:r>
    </w:p>
    <w:p w14:paraId="3749F94C" w14:textId="77777777" w:rsidR="00AE5482" w:rsidRPr="00EE5BE0" w:rsidRDefault="00AE5482" w:rsidP="00AE5482">
      <w:pPr>
        <w:pStyle w:val="06QuestionLDP"/>
        <w:numPr>
          <w:ilvl w:val="0"/>
          <w:numId w:val="16"/>
        </w:numPr>
      </w:pPr>
      <w:r w:rsidRPr="00EE5BE0">
        <w:t>Qu’en est-il de Joëlle ? A-t-elle conclu un contrat en tant que consommatrice ?</w:t>
      </w:r>
    </w:p>
    <w:p w14:paraId="65713352" w14:textId="0AF6F4F0" w:rsidR="00AE5482" w:rsidRPr="008043AF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120" w:after="0"/>
        <w:ind w:left="1276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Le déséquilibre contractuel</w:t>
      </w:r>
    </w:p>
    <w:p w14:paraId="446EBDEE" w14:textId="6779237B" w:rsidR="00AE5482" w:rsidRPr="008043AF" w:rsidRDefault="00AE5482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2D532596" w14:textId="6581AEFC" w:rsidR="00AE5482" w:rsidRPr="00EE5BE0" w:rsidRDefault="008C15D9" w:rsidP="008043A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B22F52E" wp14:editId="2FC8870F">
            <wp:extent cx="4011801" cy="395785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930" cy="4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E1A" w14:textId="6D26F50D" w:rsidR="000D2038" w:rsidRPr="00EE5BE0" w:rsidRDefault="008C15D9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A93E191" wp14:editId="01A88E4E">
            <wp:extent cx="4012440" cy="1385247"/>
            <wp:effectExtent l="0" t="0" r="7620" b="5715"/>
            <wp:docPr id="6" name="Image 6" descr="Une image contenant texte, journ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journal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1893" cy="1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297" w14:textId="62BCFB23" w:rsidR="000D2038" w:rsidRPr="008043AF" w:rsidRDefault="008C15D9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Quelle est l’origine du déséquilibre « naturel » entre Joëlle Grenier et le démarcheur auquel elle a eu affaire ? </w:t>
      </w:r>
    </w:p>
    <w:p w14:paraId="740DA168" w14:textId="5E9C8837" w:rsidR="008C15D9" w:rsidRPr="00EE5BE0" w:rsidRDefault="008C15D9" w:rsidP="008043AF">
      <w:pPr>
        <w:pStyle w:val="06QuestionLDP"/>
        <w:numPr>
          <w:ilvl w:val="0"/>
          <w:numId w:val="16"/>
        </w:numPr>
        <w:ind w:left="714" w:hanging="357"/>
      </w:pPr>
      <w:r w:rsidRPr="00EE5BE0">
        <w:t>Retrouve-t-on ce déséquilibre dans toutes les ventes ?</w:t>
      </w:r>
    </w:p>
    <w:p w14:paraId="0259D0AE" w14:textId="77777777" w:rsidR="00F86966" w:rsidRPr="00EE5BE0" w:rsidRDefault="008C15D9" w:rsidP="00F86966">
      <w:pPr>
        <w:pStyle w:val="06QuestionLDP"/>
        <w:numPr>
          <w:ilvl w:val="0"/>
          <w:numId w:val="0"/>
        </w:numPr>
        <w:ind w:left="720"/>
      </w:pPr>
      <w:r w:rsidRPr="00EE5BE0">
        <w:rPr>
          <w:noProof/>
        </w:rPr>
        <w:drawing>
          <wp:inline distT="0" distB="0" distL="0" distR="0" wp14:anchorId="2BCD20A0" wp14:editId="012CD070">
            <wp:extent cx="2281906" cy="1037230"/>
            <wp:effectExtent l="0" t="0" r="4445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7549" cy="10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966" w:rsidRPr="00EE5BE0">
        <w:t xml:space="preserve"> </w:t>
      </w:r>
    </w:p>
    <w:p w14:paraId="5050CAF6" w14:textId="3ADE6F1F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>Dans quelle mesure les règles de droit commun du contrat peuvent-elles pénaliser le consommateur ?</w:t>
      </w:r>
    </w:p>
    <w:p w14:paraId="36229D1E" w14:textId="46872A97" w:rsidR="008C15D9" w:rsidRPr="00EE5BE0" w:rsidRDefault="008C15D9" w:rsidP="008C15D9">
      <w:pPr>
        <w:pStyle w:val="06QuestionLDP"/>
        <w:numPr>
          <w:ilvl w:val="0"/>
          <w:numId w:val="0"/>
        </w:numPr>
        <w:ind w:left="720" w:hanging="360"/>
      </w:pPr>
    </w:p>
    <w:p w14:paraId="1D02DF70" w14:textId="77777777" w:rsidR="008C15D9" w:rsidRPr="00EE5BE0" w:rsidRDefault="008C15D9" w:rsidP="008C15D9">
      <w:pPr>
        <w:pStyle w:val="03TitreILDP"/>
        <w:ind w:left="714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lastRenderedPageBreak/>
        <w:t>La protection du consommateur lors de la formation du contrat</w:t>
      </w:r>
    </w:p>
    <w:p w14:paraId="12429BA4" w14:textId="77777777" w:rsidR="008C15D9" w:rsidRPr="00EE5BE0" w:rsidRDefault="008C15D9" w:rsidP="008043AF">
      <w:pPr>
        <w:pStyle w:val="04TitreALDP"/>
        <w:keepNext/>
        <w:numPr>
          <w:ilvl w:val="0"/>
          <w:numId w:val="17"/>
        </w:numPr>
        <w:suppressAutoHyphens/>
        <w:spacing w:before="0" w:after="0"/>
        <w:ind w:left="1276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t>L’information du consommateur</w:t>
      </w:r>
    </w:p>
    <w:p w14:paraId="3482AE02" w14:textId="362CB225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6BBAFA99" wp14:editId="688A9F69">
            <wp:extent cx="4981433" cy="1967424"/>
            <wp:effectExtent l="0" t="0" r="0" b="0"/>
            <wp:docPr id="8" name="Image 8" descr="Une image contenant texte, capture d’écran, journal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journal, document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378" cy="197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C21" w14:textId="77777777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 xml:space="preserve">Citez d’autres professionnels tenus au devoir de conseil. </w:t>
      </w:r>
    </w:p>
    <w:p w14:paraId="25E58FA8" w14:textId="048EEF83" w:rsidR="00F86966" w:rsidRPr="008043AF" w:rsidRDefault="00F86966" w:rsidP="008043AF">
      <w:pPr>
        <w:pStyle w:val="04TitreALDP"/>
        <w:numPr>
          <w:ilvl w:val="0"/>
          <w:numId w:val="17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L’interdiction des pratiques commerciales trompeuses</w:t>
      </w:r>
    </w:p>
    <w:p w14:paraId="66D5186B" w14:textId="1816B2D7" w:rsidR="008C15D9" w:rsidRPr="008043AF" w:rsidRDefault="008C15D9" w:rsidP="008C15D9">
      <w:pPr>
        <w:pStyle w:val="06QuestionLDP"/>
        <w:numPr>
          <w:ilvl w:val="0"/>
          <w:numId w:val="0"/>
        </w:numPr>
        <w:ind w:left="720" w:hanging="360"/>
        <w:rPr>
          <w:sz w:val="16"/>
          <w:szCs w:val="16"/>
        </w:rPr>
      </w:pPr>
    </w:p>
    <w:p w14:paraId="39D7A026" w14:textId="0F57184E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1B4C112D" wp14:editId="30D4CE53">
            <wp:extent cx="4844956" cy="1368251"/>
            <wp:effectExtent l="0" t="0" r="0" b="381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888" cy="137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5F11" w14:textId="2AC01D2D" w:rsidR="000D2038" w:rsidRPr="008043AF" w:rsidRDefault="000D2038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7A023622" w14:textId="77777777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>Pourquoi la loi prévoit-elle de graves sanctions contre la publicité trompeuse ?</w:t>
      </w:r>
    </w:p>
    <w:p w14:paraId="272C149A" w14:textId="63D957F0" w:rsidR="008C15D9" w:rsidRPr="008043AF" w:rsidRDefault="00F86966" w:rsidP="00F86966">
      <w:pPr>
        <w:pStyle w:val="Paragraphedeliste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En quoi la répression de toutes les pratiques commerciales trompeuses est-elle utile ?</w:t>
      </w:r>
    </w:p>
    <w:p w14:paraId="782AF6A8" w14:textId="688701E1" w:rsidR="00F86966" w:rsidRPr="00EE5BE0" w:rsidRDefault="004D7DD7" w:rsidP="008043AF">
      <w:pPr>
        <w:pStyle w:val="03TitreILDP"/>
        <w:tabs>
          <w:tab w:val="clear" w:pos="360"/>
          <w:tab w:val="num" w:pos="567"/>
        </w:tabs>
        <w:ind w:left="284"/>
        <w:rPr>
          <w:rFonts w:ascii="Times New Roman" w:hAnsi="Times New Roman" w:cs="Times New Roman"/>
          <w:sz w:val="24"/>
          <w:szCs w:val="24"/>
        </w:rPr>
      </w:pPr>
      <w:r w:rsidRPr="00EE5BE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F86966" w:rsidRPr="00EE5BE0">
        <w:rPr>
          <w:rFonts w:ascii="Times New Roman" w:hAnsi="Times New Roman" w:cs="Times New Roman"/>
          <w:sz w:val="24"/>
          <w:szCs w:val="24"/>
        </w:rPr>
        <w:t>La protection du consommateur lors de l’exécution du contrat</w:t>
      </w:r>
    </w:p>
    <w:p w14:paraId="7857A1ED" w14:textId="256A8AB2" w:rsidR="004D7DD7" w:rsidRPr="00EE5BE0" w:rsidRDefault="004D7DD7" w:rsidP="008043AF">
      <w:pPr>
        <w:pStyle w:val="04TitreALDP"/>
        <w:numPr>
          <w:ilvl w:val="1"/>
          <w:numId w:val="1"/>
        </w:numPr>
        <w:suppressAutoHyphens/>
        <w:spacing w:before="0" w:after="0"/>
        <w:ind w:left="709" w:hanging="357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La nullité des clauses abusives</w:t>
      </w:r>
    </w:p>
    <w:p w14:paraId="00958DEF" w14:textId="3DC3100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F4AA525" wp14:editId="25205F59">
            <wp:extent cx="4056836" cy="525439"/>
            <wp:effectExtent l="0" t="0" r="1270" b="825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462" cy="5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A2B" w14:textId="2D28953E" w:rsidR="008C15D9" w:rsidRPr="00EE5BE0" w:rsidRDefault="004D7DD7" w:rsidP="004D7DD7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8F229A5" wp14:editId="6AE3CA3B">
            <wp:extent cx="4060127" cy="2593075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432" cy="26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133" w14:textId="2059E25D" w:rsidR="004D7DD7" w:rsidRPr="00EE5BE0" w:rsidRDefault="004D7DD7" w:rsidP="004D7DD7">
      <w:pPr>
        <w:pStyle w:val="06QuestionLDP"/>
        <w:numPr>
          <w:ilvl w:val="0"/>
          <w:numId w:val="16"/>
        </w:numPr>
      </w:pPr>
      <w:r w:rsidRPr="00EE5BE0">
        <w:lastRenderedPageBreak/>
        <w:t>Les articles des conditions générales de vente qui intriguent Armand Grenier relèvent-ils de la liste « noire » ou de la liste « grise » des clauses abusives ?</w:t>
      </w:r>
    </w:p>
    <w:p w14:paraId="1B3E93AD" w14:textId="77777777" w:rsidR="004D7DD7" w:rsidRPr="00EE5BE0" w:rsidRDefault="004D7DD7" w:rsidP="004D7DD7">
      <w:pPr>
        <w:pStyle w:val="06QuestionLDP"/>
        <w:numPr>
          <w:ilvl w:val="0"/>
          <w:numId w:val="16"/>
        </w:numPr>
      </w:pPr>
      <w:r w:rsidRPr="00EE5BE0">
        <w:t>Tout déséquilibre contractuel entre le professionnel et le consommateur constitue-t-il une clause abusive ? Justifiez.</w:t>
      </w:r>
    </w:p>
    <w:p w14:paraId="6715A05B" w14:textId="4C6394F6" w:rsidR="004D7DD7" w:rsidRPr="00431E6A" w:rsidRDefault="004D7DD7" w:rsidP="00431E6A">
      <w:pPr>
        <w:pStyle w:val="04TitreALDP"/>
        <w:numPr>
          <w:ilvl w:val="1"/>
          <w:numId w:val="1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431E6A">
        <w:rPr>
          <w:rFonts w:ascii="Times New Roman" w:hAnsi="Times New Roman" w:cs="Times New Roman"/>
          <w:szCs w:val="24"/>
        </w:rPr>
        <w:t>La protection contre les défauts de la chose vendue</w:t>
      </w:r>
    </w:p>
    <w:p w14:paraId="1E08A8C8" w14:textId="7ECF73F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7A0B44D" wp14:editId="37A7DF9C">
            <wp:extent cx="4039738" cy="785059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4271" cy="7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BC1" w14:textId="3AB3A830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9481D2B" wp14:editId="23441136">
            <wp:extent cx="4101152" cy="1283870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7776" cy="12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5600" w14:textId="4B9C7A87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4D155A38" wp14:editId="2160608A">
            <wp:extent cx="4619767" cy="1884164"/>
            <wp:effectExtent l="0" t="0" r="0" b="190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4195" cy="18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A3DA" w14:textId="52102755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Quelle(s) garantie(s) Joëlle et Armand peuvent-ils mettre en œuvre ?</w:t>
      </w:r>
    </w:p>
    <w:p w14:paraId="3091E877" w14:textId="77777777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Comparez les conditions d’application de chacune de ces garanties. En quoi la garantie de conformité est-elle plus protectrice du consommateur ?</w:t>
      </w:r>
    </w:p>
    <w:p w14:paraId="4D3609BA" w14:textId="77777777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Pourquoi l’acheteur professionnel ne bénéficie-t-il pas de cette garantie de conformité ?</w:t>
      </w:r>
    </w:p>
    <w:p w14:paraId="2C95F2B1" w14:textId="0F8C2893" w:rsidR="008C15D9" w:rsidRPr="00EE5BE0" w:rsidRDefault="008C15D9">
      <w:pPr>
        <w:rPr>
          <w:rFonts w:ascii="Times New Roman" w:hAnsi="Times New Roman" w:cs="Times New Roman"/>
        </w:rPr>
      </w:pPr>
    </w:p>
    <w:p w14:paraId="0EFD52B1" w14:textId="275A0820" w:rsidR="008C15D9" w:rsidRPr="00EE5BE0" w:rsidRDefault="008C15D9">
      <w:pPr>
        <w:rPr>
          <w:rFonts w:ascii="Times New Roman" w:hAnsi="Times New Roman" w:cs="Times New Roman"/>
        </w:rPr>
      </w:pPr>
    </w:p>
    <w:p w14:paraId="43F67377" w14:textId="60B86CC7" w:rsidR="008C15D9" w:rsidRPr="00EE5BE0" w:rsidRDefault="008C15D9">
      <w:pPr>
        <w:rPr>
          <w:rFonts w:ascii="Times New Roman" w:hAnsi="Times New Roman" w:cs="Times New Roman"/>
        </w:rPr>
      </w:pPr>
    </w:p>
    <w:p w14:paraId="1E31F240" w14:textId="7D274090" w:rsidR="008C15D9" w:rsidRPr="00EE5BE0" w:rsidRDefault="008C15D9">
      <w:pPr>
        <w:rPr>
          <w:rFonts w:ascii="Times New Roman" w:hAnsi="Times New Roman" w:cs="Times New Roman"/>
        </w:rPr>
      </w:pPr>
    </w:p>
    <w:p w14:paraId="65E4C0CF" w14:textId="13C59FA4" w:rsidR="008C15D9" w:rsidRPr="00EE5BE0" w:rsidRDefault="008C15D9">
      <w:pPr>
        <w:rPr>
          <w:rFonts w:ascii="Times New Roman" w:hAnsi="Times New Roman" w:cs="Times New Roman"/>
        </w:rPr>
      </w:pPr>
    </w:p>
    <w:p w14:paraId="1F8A1346" w14:textId="77777777" w:rsidR="008C15D9" w:rsidRPr="00EE5BE0" w:rsidRDefault="008C15D9">
      <w:pPr>
        <w:rPr>
          <w:rFonts w:ascii="Times New Roman" w:hAnsi="Times New Roman" w:cs="Times New Roman"/>
        </w:rPr>
      </w:pPr>
    </w:p>
    <w:sectPr w:rsidR="008C15D9" w:rsidRPr="00EE5BE0" w:rsidSect="008043AF">
      <w:headerReference w:type="default" r:id="rId21"/>
      <w:footerReference w:type="default" r:id="rId22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222DA8" w14:textId="77777777" w:rsidR="00EE5BE0" w:rsidRDefault="00EE5BE0" w:rsidP="00EE5BE0">
      <w:pPr>
        <w:spacing w:after="0" w:line="240" w:lineRule="auto"/>
      </w:pPr>
      <w:r>
        <w:separator/>
      </w:r>
    </w:p>
  </w:endnote>
  <w:endnote w:type="continuationSeparator" w:id="0">
    <w:p w14:paraId="436DFA00" w14:textId="77777777" w:rsidR="00EE5BE0" w:rsidRDefault="00EE5BE0" w:rsidP="00EE5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018DBB" w14:textId="45DF0C11" w:rsidR="00431E6A" w:rsidRPr="00431E6A" w:rsidRDefault="00431E6A" w:rsidP="00431E6A">
    <w:pPr>
      <w:pStyle w:val="Pieddepage"/>
      <w:pBdr>
        <w:top w:val="single" w:sz="4" w:space="1" w:color="auto"/>
      </w:pBdr>
      <w:rPr>
        <w:sz w:val="18"/>
      </w:rPr>
    </w:pPr>
    <w:r w:rsidRPr="0013333E">
      <w:rPr>
        <w:sz w:val="18"/>
      </w:rPr>
      <w:t>I</w:t>
    </w:r>
    <w:r w:rsidRPr="0013333E">
      <w:rPr>
        <w:rStyle w:val="Numrodepage"/>
        <w:rFonts w:cs="Arial"/>
        <w:sz w:val="18"/>
        <w:szCs w:val="16"/>
      </w:rPr>
      <w:t>UT Bayonne- Département Informatique – S2</w:t>
    </w:r>
    <w:r w:rsidRPr="0013333E">
      <w:rPr>
        <w:sz w:val="18"/>
      </w:rPr>
      <w:t xml:space="preserve">   </w:t>
    </w:r>
    <w:r w:rsidRPr="0013333E">
      <w:rPr>
        <w:sz w:val="18"/>
      </w:rPr>
      <w:tab/>
    </w:r>
    <w:r w:rsidRPr="0013333E">
      <w:rPr>
        <w:sz w:val="18"/>
      </w:rPr>
      <w:tab/>
    </w:r>
    <w:r w:rsidRPr="0013333E">
      <w:rPr>
        <w:sz w:val="18"/>
        <w:szCs w:val="18"/>
      </w:rPr>
      <w:fldChar w:fldCharType="begin"/>
    </w:r>
    <w:r w:rsidRPr="0013333E">
      <w:rPr>
        <w:sz w:val="18"/>
        <w:szCs w:val="18"/>
      </w:rPr>
      <w:instrText>PAGE   \* MERGEFORMAT</w:instrText>
    </w:r>
    <w:r w:rsidRPr="0013333E">
      <w:rPr>
        <w:sz w:val="18"/>
        <w:szCs w:val="18"/>
      </w:rPr>
      <w:fldChar w:fldCharType="separate"/>
    </w:r>
    <w:r w:rsidR="00896A65">
      <w:rPr>
        <w:noProof/>
        <w:sz w:val="18"/>
        <w:szCs w:val="18"/>
      </w:rPr>
      <w:t>1</w:t>
    </w:r>
    <w:r w:rsidRPr="0013333E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2BA00D" w14:textId="77777777" w:rsidR="00EE5BE0" w:rsidRDefault="00EE5BE0" w:rsidP="00EE5BE0">
      <w:pPr>
        <w:spacing w:after="0" w:line="240" w:lineRule="auto"/>
      </w:pPr>
      <w:r>
        <w:separator/>
      </w:r>
    </w:p>
  </w:footnote>
  <w:footnote w:type="continuationSeparator" w:id="0">
    <w:p w14:paraId="6061293B" w14:textId="77777777" w:rsidR="00EE5BE0" w:rsidRDefault="00EE5BE0" w:rsidP="00EE5B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35FE1B" w14:textId="2D5D4DE3" w:rsidR="00EE5BE0" w:rsidRPr="00EE5BE0" w:rsidRDefault="00EE5BE0" w:rsidP="00EE5BE0">
    <w:pPr>
      <w:pStyle w:val="NormalWeb"/>
      <w:pBdr>
        <w:bottom w:val="single" w:sz="4" w:space="1" w:color="auto"/>
      </w:pBdr>
      <w:shd w:val="clear" w:color="auto" w:fill="F2F2F2"/>
      <w:kinsoku w:val="0"/>
      <w:overflowPunct w:val="0"/>
      <w:spacing w:before="0" w:beforeAutospacing="0" w:after="0" w:afterAutospacing="0"/>
      <w:textAlignment w:val="baseline"/>
      <w:rPr>
        <w:color w:val="9E0000"/>
        <w:sz w:val="26"/>
        <w:szCs w:val="26"/>
      </w:rPr>
    </w:pPr>
    <w:r w:rsidRPr="0085206E">
      <w:rPr>
        <w:noProof/>
      </w:rPr>
      <w:drawing>
        <wp:inline distT="0" distB="0" distL="0" distR="0" wp14:anchorId="1C6BF3E4" wp14:editId="3ED275AD">
          <wp:extent cx="1924050" cy="177165"/>
          <wp:effectExtent l="0" t="0" r="0" b="0"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17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C</w:t>
    </w:r>
    <w:r>
      <w:rPr>
        <w:rFonts w:ascii="Arial" w:hAnsi="Arial"/>
        <w:b/>
        <w:bCs/>
        <w:color w:val="9E0000"/>
        <w:kern w:val="24"/>
        <w:sz w:val="20"/>
        <w:szCs w:val="20"/>
      </w:rPr>
      <w:t>2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_TP</w:t>
    </w:r>
    <w:r>
      <w:rPr>
        <w:rFonts w:ascii="Arial" w:hAnsi="Arial"/>
        <w:b/>
        <w:bCs/>
        <w:color w:val="9E0000"/>
        <w:kern w:val="24"/>
        <w:sz w:val="20"/>
        <w:szCs w:val="20"/>
      </w:rPr>
      <w:t>3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</w:t>
    </w:r>
    <w:r>
      <w:rPr>
        <w:rFonts w:ascii="Arial" w:hAnsi="Arial"/>
        <w:b/>
        <w:bCs/>
        <w:color w:val="9E0000"/>
        <w:kern w:val="24"/>
        <w:sz w:val="20"/>
        <w:szCs w:val="20"/>
      </w:rPr>
      <w:t>Droit des contrats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67E20"/>
    <w:multiLevelType w:val="hybridMultilevel"/>
    <w:tmpl w:val="36887DD2"/>
    <w:lvl w:ilvl="0" w:tplc="BFA82AB8">
      <w:start w:val="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31A99"/>
    <w:multiLevelType w:val="hybridMultilevel"/>
    <w:tmpl w:val="10260528"/>
    <w:lvl w:ilvl="0" w:tplc="69463810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D4D97"/>
    <w:multiLevelType w:val="hybridMultilevel"/>
    <w:tmpl w:val="F970017E"/>
    <w:lvl w:ilvl="0" w:tplc="2EF49044">
      <w:start w:val="1"/>
      <w:numFmt w:val="upperLetter"/>
      <w:lvlText w:val="%1."/>
      <w:lvlJc w:val="left"/>
      <w:pPr>
        <w:ind w:left="180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 w15:restartNumberingAfterBreak="0">
    <w:nsid w:val="11923FDA"/>
    <w:multiLevelType w:val="hybridMultilevel"/>
    <w:tmpl w:val="86EC74BE"/>
    <w:lvl w:ilvl="0" w:tplc="345AE0D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12F5047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7263DF7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196E5576"/>
    <w:multiLevelType w:val="hybridMultilevel"/>
    <w:tmpl w:val="ED846242"/>
    <w:lvl w:ilvl="0" w:tplc="040C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303B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1F03130"/>
    <w:multiLevelType w:val="hybridMultilevel"/>
    <w:tmpl w:val="8E48F3D6"/>
    <w:lvl w:ilvl="0" w:tplc="682E4962">
      <w:start w:val="2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33536D"/>
    <w:multiLevelType w:val="hybridMultilevel"/>
    <w:tmpl w:val="F68E38C6"/>
    <w:lvl w:ilvl="0" w:tplc="040C000F">
      <w:start w:val="1"/>
      <w:numFmt w:val="decimal"/>
      <w:lvlText w:val="%1."/>
      <w:lvlJc w:val="left"/>
      <w:pPr>
        <w:tabs>
          <w:tab w:val="num" w:pos="2007"/>
        </w:tabs>
        <w:ind w:left="2007" w:hanging="360"/>
      </w:pPr>
      <w:rPr>
        <w:rFonts w:cs="Times New Roman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  <w:rPr>
        <w:rFonts w:cs="Times New Roman"/>
      </w:rPr>
    </w:lvl>
  </w:abstractNum>
  <w:abstractNum w:abstractNumId="10" w15:restartNumberingAfterBreak="0">
    <w:nsid w:val="30BD7EAC"/>
    <w:multiLevelType w:val="hybridMultilevel"/>
    <w:tmpl w:val="ABAA0BF4"/>
    <w:lvl w:ilvl="0" w:tplc="09484F60">
      <w:start w:val="2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2001C0"/>
    <w:multiLevelType w:val="hybridMultilevel"/>
    <w:tmpl w:val="459CF4C4"/>
    <w:lvl w:ilvl="0" w:tplc="4394E2C0">
      <w:start w:val="1"/>
      <w:numFmt w:val="decimal"/>
      <w:pStyle w:val="06QuestionLDP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3BF854B9"/>
    <w:multiLevelType w:val="hybridMultilevel"/>
    <w:tmpl w:val="FF6C6F12"/>
    <w:lvl w:ilvl="0" w:tplc="040C0015">
      <w:start w:val="1"/>
      <w:numFmt w:val="upperLetter"/>
      <w:lvlText w:val="%1."/>
      <w:lvlJc w:val="left"/>
      <w:pPr>
        <w:ind w:left="1287" w:hanging="360"/>
      </w:pPr>
      <w:rPr>
        <w:rFonts w:cs="Times New Roman"/>
      </w:rPr>
    </w:lvl>
    <w:lvl w:ilvl="1" w:tplc="4502B4A8">
      <w:start w:val="1"/>
      <w:numFmt w:val="upperLetter"/>
      <w:lvlText w:val="%2."/>
      <w:lvlJc w:val="left"/>
      <w:pPr>
        <w:ind w:left="2007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3" w15:restartNumberingAfterBreak="0">
    <w:nsid w:val="4EA60D1A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4" w15:restartNumberingAfterBreak="0">
    <w:nsid w:val="52414CDA"/>
    <w:multiLevelType w:val="hybridMultilevel"/>
    <w:tmpl w:val="E402ACEE"/>
    <w:lvl w:ilvl="0" w:tplc="2CFE9594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4C48FD"/>
    <w:multiLevelType w:val="hybridMultilevel"/>
    <w:tmpl w:val="A6045350"/>
    <w:lvl w:ilvl="0" w:tplc="48AA052C">
      <w:start w:val="2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81BEC77A">
      <w:start w:val="7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5A636026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 w15:restartNumberingAfterBreak="0">
    <w:nsid w:val="5AE67C66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8" w15:restartNumberingAfterBreak="0">
    <w:nsid w:val="6F0A2B15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9" w15:restartNumberingAfterBreak="0">
    <w:nsid w:val="71F052F0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66B389B"/>
    <w:multiLevelType w:val="hybridMultilevel"/>
    <w:tmpl w:val="148EF734"/>
    <w:lvl w:ilvl="0" w:tplc="20FCB82E">
      <w:start w:val="1"/>
      <w:numFmt w:val="upperRoman"/>
      <w:pStyle w:val="03TitreILDP"/>
      <w:lvlText w:val="%1."/>
      <w:lvlJc w:val="righ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0"/>
  </w:num>
  <w:num w:numId="2">
    <w:abstractNumId w:val="18"/>
  </w:num>
  <w:num w:numId="3">
    <w:abstractNumId w:val="7"/>
  </w:num>
  <w:num w:numId="4">
    <w:abstractNumId w:val="11"/>
  </w:num>
  <w:num w:numId="5">
    <w:abstractNumId w:val="9"/>
  </w:num>
  <w:num w:numId="6">
    <w:abstractNumId w:val="4"/>
  </w:num>
  <w:num w:numId="7">
    <w:abstractNumId w:val="6"/>
  </w:num>
  <w:num w:numId="8">
    <w:abstractNumId w:val="16"/>
  </w:num>
  <w:num w:numId="9">
    <w:abstractNumId w:val="14"/>
  </w:num>
  <w:num w:numId="10">
    <w:abstractNumId w:val="1"/>
  </w:num>
  <w:num w:numId="11">
    <w:abstractNumId w:val="0"/>
  </w:num>
  <w:num w:numId="12">
    <w:abstractNumId w:val="8"/>
  </w:num>
  <w:num w:numId="13">
    <w:abstractNumId w:val="10"/>
  </w:num>
  <w:num w:numId="14">
    <w:abstractNumId w:val="12"/>
  </w:num>
  <w:num w:numId="15">
    <w:abstractNumId w:val="13"/>
  </w:num>
  <w:num w:numId="16">
    <w:abstractNumId w:val="3"/>
  </w:num>
  <w:num w:numId="17">
    <w:abstractNumId w:val="17"/>
  </w:num>
  <w:num w:numId="18">
    <w:abstractNumId w:val="2"/>
  </w:num>
  <w:num w:numId="19">
    <w:abstractNumId w:val="15"/>
  </w:num>
  <w:num w:numId="20">
    <w:abstractNumId w:val="19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BA6"/>
    <w:rsid w:val="000D2038"/>
    <w:rsid w:val="00431E6A"/>
    <w:rsid w:val="004D7DD7"/>
    <w:rsid w:val="008043AF"/>
    <w:rsid w:val="00896A65"/>
    <w:rsid w:val="008C15D9"/>
    <w:rsid w:val="00953BA6"/>
    <w:rsid w:val="00A96B88"/>
    <w:rsid w:val="00AE5482"/>
    <w:rsid w:val="00EE5BE0"/>
    <w:rsid w:val="00F86966"/>
    <w:rsid w:val="00F9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E6016"/>
  <w15:chartTrackingRefBased/>
  <w15:docId w15:val="{2CA6A83E-1FED-4DD4-8E1F-96A95B0AB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D20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3TitreILDP">
    <w:name w:val="03_TitreILDP"/>
    <w:basedOn w:val="Titre2"/>
    <w:rsid w:val="000D2038"/>
    <w:pPr>
      <w:keepNext w:val="0"/>
      <w:keepLines w:val="0"/>
      <w:numPr>
        <w:numId w:val="1"/>
      </w:numPr>
      <w:tabs>
        <w:tab w:val="num" w:pos="360"/>
      </w:tabs>
      <w:spacing w:before="360" w:after="120" w:line="240" w:lineRule="auto"/>
      <w:ind w:left="0" w:firstLine="0"/>
    </w:pPr>
    <w:rPr>
      <w:rFonts w:ascii="Tahoma" w:eastAsia="Calibri" w:hAnsi="Tahoma" w:cs="Arial Unicode MS"/>
      <w:b/>
      <w:bCs/>
      <w:color w:val="auto"/>
      <w:sz w:val="28"/>
      <w:szCs w:val="28"/>
      <w:lang w:val="x-none" w:eastAsia="x-none"/>
    </w:rPr>
  </w:style>
  <w:style w:type="paragraph" w:customStyle="1" w:styleId="04TitreALDP">
    <w:name w:val="04_TitreALDP"/>
    <w:basedOn w:val="Titre2"/>
    <w:rsid w:val="000D2038"/>
    <w:pPr>
      <w:keepNext w:val="0"/>
      <w:keepLines w:val="0"/>
      <w:spacing w:before="240" w:after="120" w:line="240" w:lineRule="auto"/>
    </w:pPr>
    <w:rPr>
      <w:rFonts w:ascii="Tahoma" w:eastAsia="Calibri" w:hAnsi="Tahoma" w:cs="Arial Unicode MS"/>
      <w:b/>
      <w:bCs/>
      <w:color w:val="auto"/>
      <w:sz w:val="24"/>
      <w:szCs w:val="28"/>
      <w:lang w:val="x-none" w:eastAsia="x-none"/>
    </w:rPr>
  </w:style>
  <w:style w:type="character" w:customStyle="1" w:styleId="Titre2Car">
    <w:name w:val="Titre 2 Car"/>
    <w:basedOn w:val="Policepardfaut"/>
    <w:link w:val="Titre2"/>
    <w:uiPriority w:val="9"/>
    <w:semiHidden/>
    <w:rsid w:val="000D20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6QuestionLDP">
    <w:name w:val="06_QuestionLDP"/>
    <w:basedOn w:val="Normal"/>
    <w:rsid w:val="000D2038"/>
    <w:pPr>
      <w:numPr>
        <w:numId w:val="4"/>
      </w:numPr>
      <w:spacing w:before="120" w:after="0" w:line="240" w:lineRule="auto"/>
      <w:jc w:val="both"/>
    </w:pPr>
    <w:rPr>
      <w:rFonts w:ascii="Times New Roman" w:eastAsia="Calibri" w:hAnsi="Times New Roman" w:cs="Times New Roman"/>
      <w:b/>
      <w:bCs/>
      <w:lang w:eastAsia="fr-FR"/>
    </w:rPr>
  </w:style>
  <w:style w:type="paragraph" w:styleId="Paragraphedeliste">
    <w:name w:val="List Paragraph"/>
    <w:basedOn w:val="Normal"/>
    <w:uiPriority w:val="34"/>
    <w:qFormat/>
    <w:rsid w:val="00AE548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E5BE0"/>
  </w:style>
  <w:style w:type="paragraph" w:styleId="Pieddepage">
    <w:name w:val="footer"/>
    <w:basedOn w:val="Normal"/>
    <w:link w:val="Pieddepag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E5BE0"/>
  </w:style>
  <w:style w:type="paragraph" w:styleId="NormalWeb">
    <w:name w:val="Normal (Web)"/>
    <w:basedOn w:val="Normal"/>
    <w:uiPriority w:val="99"/>
    <w:unhideWhenUsed/>
    <w:rsid w:val="00EE5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Numrodepage">
    <w:name w:val="page number"/>
    <w:uiPriority w:val="99"/>
    <w:rsid w:val="00431E6A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259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Brierre Titouan</cp:lastModifiedBy>
  <cp:revision>2</cp:revision>
  <dcterms:created xsi:type="dcterms:W3CDTF">2022-04-12T07:47:00Z</dcterms:created>
  <dcterms:modified xsi:type="dcterms:W3CDTF">2022-04-12T07:47:00Z</dcterms:modified>
</cp:coreProperties>
</file>